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EC" w:rsidRDefault="002F37C0">
      <w:pPr>
        <w:spacing w:after="58"/>
        <w:ind w:left="191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9560" cy="780288"/>
            <wp:effectExtent l="0" t="0" r="0" b="0"/>
            <wp:docPr id="801" name="Picture 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" name="Picture 8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94BEC" w:rsidRDefault="002F37C0">
      <w:pPr>
        <w:spacing w:after="0"/>
        <w:ind w:right="9"/>
        <w:jc w:val="center"/>
      </w:pPr>
      <w:r>
        <w:rPr>
          <w:sz w:val="18"/>
        </w:rPr>
        <w:t>CONCURSO PÚBLICO - EDITAL N.º 001/2014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4" w:line="249" w:lineRule="auto"/>
        <w:ind w:left="-5" w:hanging="10"/>
        <w:jc w:val="both"/>
      </w:pPr>
      <w:r>
        <w:rPr>
          <w:sz w:val="19"/>
        </w:rPr>
        <w:t>A Comissão do Concurso Público e a Rumo Certo Serviços e Assessoria LTDA – EPP convocam os candidatos para realização das provas objetivas do Concurso Público para provimento de diversos cargos, observado o disposto na Legislação Municipal e na forma deter</w:t>
      </w:r>
      <w:r>
        <w:rPr>
          <w:sz w:val="19"/>
        </w:rPr>
        <w:t xml:space="preserve">minada no Edital de abertura do certame.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pStyle w:val="Ttulo1"/>
        <w:ind w:left="206" w:hanging="206"/>
      </w:pPr>
      <w:r>
        <w:t>- DAS DISPOSIÇÕES GERAIS</w:t>
      </w:r>
      <w:r>
        <w:rPr>
          <w:u w:val="none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4" w:line="249" w:lineRule="auto"/>
        <w:ind w:left="-5" w:hanging="10"/>
        <w:jc w:val="both"/>
      </w:pPr>
      <w:r>
        <w:rPr>
          <w:sz w:val="19"/>
        </w:rPr>
        <w:t xml:space="preserve">1.1 – As provas objetivas serão realizadas no dia 17 de janeiro de 2016, na cidade de Bonfinópolis de Minas - MG. </w:t>
      </w:r>
    </w:p>
    <w:p w:rsidR="00394BEC" w:rsidRDefault="002F37C0">
      <w:pPr>
        <w:spacing w:after="4" w:line="249" w:lineRule="auto"/>
        <w:ind w:left="-5" w:hanging="10"/>
        <w:jc w:val="both"/>
      </w:pPr>
      <w:r>
        <w:rPr>
          <w:sz w:val="19"/>
        </w:rPr>
        <w:t>1.2 – Os horários de realização das provas serão, para o turno da man</w:t>
      </w:r>
      <w:r>
        <w:rPr>
          <w:sz w:val="19"/>
        </w:rPr>
        <w:t xml:space="preserve">hã, às 08:00 horas (horário de Brasília) e, para o turno da tarde, às 13:00 horas (horário de Brasília). </w:t>
      </w:r>
    </w:p>
    <w:p w:rsidR="00394BEC" w:rsidRDefault="002F37C0">
      <w:pPr>
        <w:spacing w:after="4" w:line="249" w:lineRule="auto"/>
        <w:ind w:left="-5" w:hanging="10"/>
        <w:jc w:val="both"/>
      </w:pPr>
      <w:r>
        <w:rPr>
          <w:sz w:val="19"/>
        </w:rPr>
        <w:t xml:space="preserve">1.2.1 – No turno da manhã farão as provas os cargos de </w:t>
      </w:r>
      <w:r>
        <w:rPr>
          <w:sz w:val="18"/>
        </w:rPr>
        <w:t xml:space="preserve">Engenheiro Civil, Médico Veterinário, Fisioterapeuta, </w:t>
      </w:r>
    </w:p>
    <w:p w:rsidR="00394BEC" w:rsidRDefault="002F37C0">
      <w:pPr>
        <w:spacing w:after="29" w:line="238" w:lineRule="auto"/>
        <w:ind w:left="-5" w:right="-12" w:hanging="10"/>
        <w:jc w:val="both"/>
      </w:pPr>
      <w:r>
        <w:rPr>
          <w:sz w:val="18"/>
        </w:rPr>
        <w:t>Instrutor De Academia De Saúde, Médico C</w:t>
      </w:r>
      <w:r>
        <w:rPr>
          <w:sz w:val="18"/>
        </w:rPr>
        <w:t>línico Geral, Odontólogo, Nutricionista, Enfermeiro, Assistente Social I, Assistente Social II, Especialista Em Educação Básica, Psicólogo, Farmacêutico Bioquímico II, Professor Educação Básica, Agente Combate Endemias, Agente Comunitário De Saúde, Técnico</w:t>
      </w:r>
      <w:r>
        <w:rPr>
          <w:sz w:val="18"/>
        </w:rPr>
        <w:t xml:space="preserve"> Em Enfermagem, Técnico Em Radiologia, Técnico Em Farmácia, Técnico Em Agropecuária, Operador De Máquina I, Operador De Máquina II, Motorista. </w:t>
      </w:r>
    </w:p>
    <w:p w:rsidR="00394BEC" w:rsidRDefault="002F37C0">
      <w:pPr>
        <w:spacing w:after="29" w:line="238" w:lineRule="auto"/>
        <w:ind w:left="-5" w:right="-12" w:hanging="10"/>
        <w:jc w:val="both"/>
      </w:pPr>
      <w:r>
        <w:rPr>
          <w:sz w:val="19"/>
        </w:rPr>
        <w:t xml:space="preserve">1.2.2 – No turno da tarde farão as provas os cargos de </w:t>
      </w:r>
      <w:r>
        <w:rPr>
          <w:sz w:val="18"/>
        </w:rPr>
        <w:t xml:space="preserve">Auxiliar De </w:t>
      </w:r>
      <w:proofErr w:type="spellStart"/>
      <w:r>
        <w:rPr>
          <w:sz w:val="18"/>
        </w:rPr>
        <w:t>Servicos</w:t>
      </w:r>
      <w:proofErr w:type="spellEnd"/>
      <w:r>
        <w:rPr>
          <w:sz w:val="18"/>
        </w:rPr>
        <w:t xml:space="preserve"> Gerais, Vigia, Monitor Escolar, Fisc</w:t>
      </w:r>
      <w:r>
        <w:rPr>
          <w:sz w:val="18"/>
        </w:rPr>
        <w:t>al Municipal, Auxiliar Administrativo.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94BEC" w:rsidRDefault="002F37C0">
      <w:pPr>
        <w:spacing w:after="4" w:line="249" w:lineRule="auto"/>
        <w:ind w:left="-5" w:hanging="10"/>
        <w:jc w:val="both"/>
      </w:pPr>
      <w:r>
        <w:rPr>
          <w:sz w:val="19"/>
        </w:rPr>
        <w:t xml:space="preserve">1.3 – Estão publicadas no site </w:t>
      </w:r>
      <w:r>
        <w:rPr>
          <w:color w:val="0000FF"/>
          <w:sz w:val="19"/>
          <w:u w:val="single" w:color="0000FF"/>
        </w:rPr>
        <w:t>www.rumocertoservicos.com.br</w:t>
      </w:r>
      <w:r>
        <w:rPr>
          <w:sz w:val="19"/>
        </w:rPr>
        <w:t xml:space="preserve">, listagens contendo os dados dos candidatos, o prédio e a sala nas quais prestará as provas para o concurso.  </w:t>
      </w:r>
    </w:p>
    <w:p w:rsidR="00394BEC" w:rsidRDefault="002F37C0">
      <w:pPr>
        <w:spacing w:after="4" w:line="249" w:lineRule="auto"/>
        <w:ind w:left="-5" w:hanging="10"/>
        <w:jc w:val="both"/>
      </w:pPr>
      <w:r>
        <w:rPr>
          <w:sz w:val="19"/>
        </w:rPr>
        <w:t xml:space="preserve">1.4 – Devem ser rigorosamente seguidos todos </w:t>
      </w:r>
      <w:r>
        <w:rPr>
          <w:sz w:val="19"/>
        </w:rPr>
        <w:t xml:space="preserve">os regramentos contidos no Edital 01/2014.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9" w:line="267" w:lineRule="auto"/>
        <w:ind w:left="-5" w:hanging="10"/>
      </w:pPr>
      <w:r>
        <w:rPr>
          <w:sz w:val="19"/>
        </w:rPr>
        <w:t xml:space="preserve">Belo Horizonte - MG, 11 de janeiro de 2016.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9" w:line="267" w:lineRule="auto"/>
        <w:ind w:left="-5" w:hanging="10"/>
      </w:pPr>
      <w:r>
        <w:rPr>
          <w:sz w:val="19"/>
        </w:rPr>
        <w:t xml:space="preserve">DONIZETE ANTONIO DOS SANTOS </w:t>
      </w:r>
    </w:p>
    <w:p w:rsidR="00394BEC" w:rsidRDefault="002F37C0">
      <w:pPr>
        <w:spacing w:after="9" w:line="267" w:lineRule="auto"/>
        <w:ind w:left="-5" w:hanging="10"/>
      </w:pPr>
      <w:r>
        <w:rPr>
          <w:sz w:val="19"/>
        </w:rPr>
        <w:t xml:space="preserve">PREFEITO MUNICIPAL DE BONFINÓPOLIS DE MINAS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9" w:line="267" w:lineRule="auto"/>
        <w:ind w:left="-5" w:hanging="10"/>
      </w:pPr>
      <w:r>
        <w:rPr>
          <w:sz w:val="19"/>
        </w:rPr>
        <w:t xml:space="preserve">MARIA ELIETE GOMES  </w:t>
      </w:r>
    </w:p>
    <w:p w:rsidR="00394BEC" w:rsidRDefault="002F37C0">
      <w:pPr>
        <w:spacing w:after="9" w:line="267" w:lineRule="auto"/>
        <w:ind w:left="-5" w:hanging="10"/>
      </w:pPr>
      <w:r>
        <w:rPr>
          <w:sz w:val="19"/>
        </w:rPr>
        <w:t xml:space="preserve">PRESIDENTE DA COMISSÃO DE ACOMPANHAMENTO DO CONCURSO PÚBLICO – EDITAL 001/2014 </w:t>
      </w:r>
    </w:p>
    <w:p w:rsidR="00394BEC" w:rsidRDefault="002F37C0">
      <w:pPr>
        <w:spacing w:after="9" w:line="267" w:lineRule="auto"/>
        <w:ind w:left="-5" w:hanging="10"/>
      </w:pPr>
      <w:r>
        <w:rPr>
          <w:sz w:val="19"/>
        </w:rPr>
        <w:t xml:space="preserve">PORTARIA Nº 059, DE 09/06/2014 ALTERADA PELA PORTARIA 102 DE 16/11/2015 </w:t>
      </w:r>
    </w:p>
    <w:p w:rsidR="00394BEC" w:rsidRDefault="002F37C0">
      <w:pPr>
        <w:spacing w:after="18"/>
      </w:pPr>
      <w:r>
        <w:rPr>
          <w:sz w:val="19"/>
        </w:rPr>
        <w:t xml:space="preserve"> </w:t>
      </w:r>
    </w:p>
    <w:p w:rsidR="00394BEC" w:rsidRDefault="002F37C0">
      <w:pPr>
        <w:spacing w:after="0"/>
      </w:pPr>
      <w:r>
        <w:rPr>
          <w:sz w:val="19"/>
        </w:rPr>
        <w:t xml:space="preserve"> </w:t>
      </w:r>
    </w:p>
    <w:p w:rsidR="00394BEC" w:rsidRDefault="002F37C0">
      <w:pPr>
        <w:spacing w:after="0"/>
        <w:ind w:left="-5"/>
      </w:pPr>
      <w:r>
        <w:rPr>
          <w:noProof/>
        </w:rPr>
        <w:drawing>
          <wp:inline distT="0" distB="0" distL="0" distR="0">
            <wp:extent cx="1783080" cy="49530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</w:p>
    <w:p w:rsidR="00394BEC" w:rsidRDefault="002F37C0">
      <w:pPr>
        <w:spacing w:after="9" w:line="267" w:lineRule="auto"/>
        <w:ind w:left="-5" w:hanging="10"/>
      </w:pPr>
      <w:r>
        <w:rPr>
          <w:sz w:val="19"/>
        </w:rPr>
        <w:t xml:space="preserve">Geraldo de Moura Leite Neto </w:t>
      </w:r>
    </w:p>
    <w:p w:rsidR="00394BEC" w:rsidRDefault="002F37C0">
      <w:pPr>
        <w:spacing w:after="9" w:line="267" w:lineRule="auto"/>
        <w:ind w:left="-5" w:hanging="10"/>
      </w:pPr>
      <w:r>
        <w:rPr>
          <w:sz w:val="19"/>
        </w:rPr>
        <w:t xml:space="preserve">Rumo Certo Serviços e Assessoria </w:t>
      </w:r>
      <w:proofErr w:type="spellStart"/>
      <w:r>
        <w:rPr>
          <w:sz w:val="19"/>
        </w:rPr>
        <w:t>Ltda</w:t>
      </w:r>
      <w:proofErr w:type="spellEnd"/>
      <w:r>
        <w:rPr>
          <w:sz w:val="19"/>
        </w:rPr>
        <w:t xml:space="preserve"> </w:t>
      </w:r>
    </w:p>
    <w:p w:rsidR="00394BEC" w:rsidRDefault="002F37C0">
      <w:pPr>
        <w:spacing w:after="16"/>
      </w:pPr>
      <w:r>
        <w:rPr>
          <w:sz w:val="19"/>
        </w:rPr>
        <w:t xml:space="preserve"> </w:t>
      </w:r>
    </w:p>
    <w:p w:rsidR="00394BEC" w:rsidRDefault="002F37C0">
      <w:pPr>
        <w:spacing w:after="745"/>
      </w:pPr>
      <w:r>
        <w:rPr>
          <w:sz w:val="19"/>
        </w:rPr>
        <w:t xml:space="preserve"> </w:t>
      </w:r>
    </w:p>
    <w:p w:rsidR="00394BEC" w:rsidRDefault="002F37C0">
      <w:pPr>
        <w:spacing w:after="0"/>
        <w:ind w:right="311"/>
        <w:jc w:val="right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394BEC">
      <w:pgSz w:w="11900" w:h="16840"/>
      <w:pgMar w:top="1066" w:right="801" w:bottom="144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85C29"/>
    <w:multiLevelType w:val="hybridMultilevel"/>
    <w:tmpl w:val="C4DE23D8"/>
    <w:lvl w:ilvl="0" w:tplc="8A7A085E">
      <w:start w:val="1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single" w:color="000000"/>
        <w:bdr w:val="none" w:sz="0" w:space="0" w:color="auto"/>
        <w:shd w:val="clear" w:color="auto" w:fill="auto"/>
        <w:vertAlign w:val="baseline"/>
      </w:rPr>
    </w:lvl>
    <w:lvl w:ilvl="1" w:tplc="38E03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single" w:color="000000"/>
        <w:bdr w:val="none" w:sz="0" w:space="0" w:color="auto"/>
        <w:shd w:val="clear" w:color="auto" w:fill="auto"/>
        <w:vertAlign w:val="baseline"/>
      </w:rPr>
    </w:lvl>
    <w:lvl w:ilvl="2" w:tplc="171015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single" w:color="000000"/>
        <w:bdr w:val="none" w:sz="0" w:space="0" w:color="auto"/>
        <w:shd w:val="clear" w:color="auto" w:fill="auto"/>
        <w:vertAlign w:val="baseline"/>
      </w:rPr>
    </w:lvl>
    <w:lvl w:ilvl="3" w:tplc="4F54A4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single" w:color="000000"/>
        <w:bdr w:val="none" w:sz="0" w:space="0" w:color="auto"/>
        <w:shd w:val="clear" w:color="auto" w:fill="auto"/>
        <w:vertAlign w:val="baseline"/>
      </w:rPr>
    </w:lvl>
    <w:lvl w:ilvl="4" w:tplc="A7A010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single" w:color="000000"/>
        <w:bdr w:val="none" w:sz="0" w:space="0" w:color="auto"/>
        <w:shd w:val="clear" w:color="auto" w:fill="auto"/>
        <w:vertAlign w:val="baseline"/>
      </w:rPr>
    </w:lvl>
    <w:lvl w:ilvl="5" w:tplc="D2ACBD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single" w:color="000000"/>
        <w:bdr w:val="none" w:sz="0" w:space="0" w:color="auto"/>
        <w:shd w:val="clear" w:color="auto" w:fill="auto"/>
        <w:vertAlign w:val="baseline"/>
      </w:rPr>
    </w:lvl>
    <w:lvl w:ilvl="6" w:tplc="E5E8A0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single" w:color="000000"/>
        <w:bdr w:val="none" w:sz="0" w:space="0" w:color="auto"/>
        <w:shd w:val="clear" w:color="auto" w:fill="auto"/>
        <w:vertAlign w:val="baseline"/>
      </w:rPr>
    </w:lvl>
    <w:lvl w:ilvl="7" w:tplc="01243A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single" w:color="000000"/>
        <w:bdr w:val="none" w:sz="0" w:space="0" w:color="auto"/>
        <w:shd w:val="clear" w:color="auto" w:fill="auto"/>
        <w:vertAlign w:val="baseline"/>
      </w:rPr>
    </w:lvl>
    <w:lvl w:ilvl="8" w:tplc="38A447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EC"/>
    <w:rsid w:val="002F37C0"/>
    <w:rsid w:val="003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FB5EB-731C-4EB5-B61F-17589E9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outlineLvl w:val="0"/>
    </w:pPr>
    <w:rPr>
      <w:rFonts w:ascii="Calibri" w:eastAsia="Calibri" w:hAnsi="Calibri" w:cs="Calibri"/>
      <w:color w:val="000000"/>
      <w:sz w:val="19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CONVOCACAO PROVAS OBJETIVAS.docx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CONVOCACAO PROVAS OBJETIVAS.docx</dc:title>
  <dc:subject/>
  <dc:creator>GERALDO NETO</dc:creator>
  <cp:keywords/>
  <cp:lastModifiedBy>User</cp:lastModifiedBy>
  <cp:revision>2</cp:revision>
  <dcterms:created xsi:type="dcterms:W3CDTF">2016-01-11T16:33:00Z</dcterms:created>
  <dcterms:modified xsi:type="dcterms:W3CDTF">2016-01-11T16:33:00Z</dcterms:modified>
</cp:coreProperties>
</file>